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53595F" w14:textId="77777777" w:rsidR="00AC5F80" w:rsidRDefault="00F67578">
      <w:pPr>
        <w:spacing w:after="0" w:line="259" w:lineRule="auto"/>
        <w:ind w:left="850" w:right="43"/>
        <w:jc w:val="center"/>
      </w:pPr>
      <w:r>
        <w:t>T.C.</w:t>
      </w:r>
    </w:p>
    <w:p w14:paraId="12985FE4" w14:textId="77777777" w:rsidR="00AC5F80" w:rsidRDefault="00F67578">
      <w:pPr>
        <w:spacing w:after="0" w:line="259" w:lineRule="auto"/>
        <w:ind w:left="850"/>
        <w:jc w:val="center"/>
      </w:pPr>
      <w:r>
        <w:t>HAZİNE VE MALİYE BAKANLIĞI</w:t>
      </w:r>
    </w:p>
    <w:p w14:paraId="7AA36127" w14:textId="77777777" w:rsidR="00AC5F80" w:rsidRDefault="00F67578">
      <w:pPr>
        <w:tabs>
          <w:tab w:val="center" w:pos="1399"/>
          <w:tab w:val="center" w:pos="5940"/>
        </w:tabs>
        <w:spacing w:after="235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noProof/>
        </w:rPr>
        <w:drawing>
          <wp:inline distT="0" distB="0" distL="0" distR="0" wp14:anchorId="060A33E9" wp14:editId="50763155">
            <wp:extent cx="647700" cy="762000"/>
            <wp:effectExtent l="0" t="0" r="0" b="0"/>
            <wp:docPr id="60" name="Pictur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Darphane ve Damga Matbaası Genel Müdürlüğü</w:t>
      </w:r>
    </w:p>
    <w:p w14:paraId="68D2FF44" w14:textId="77777777" w:rsidR="00AC5F80" w:rsidRDefault="00F67578">
      <w:pPr>
        <w:spacing w:after="15" w:line="259" w:lineRule="auto"/>
        <w:ind w:left="0" w:firstLine="0"/>
        <w:jc w:val="left"/>
      </w:pPr>
      <w:r>
        <w:t xml:space="preserve"> </w:t>
      </w:r>
    </w:p>
    <w:p w14:paraId="0197B557" w14:textId="77777777" w:rsidR="00AC5F80" w:rsidRDefault="00F67578">
      <w:pPr>
        <w:spacing w:after="0" w:line="259" w:lineRule="auto"/>
        <w:ind w:left="0" w:firstLine="0"/>
        <w:jc w:val="left"/>
      </w:pPr>
      <w:r>
        <w:t xml:space="preserve"> </w:t>
      </w:r>
    </w:p>
    <w:p w14:paraId="341471B8" w14:textId="77777777" w:rsidR="00AC5F80" w:rsidRDefault="00F67578">
      <w:pPr>
        <w:tabs>
          <w:tab w:val="center" w:pos="1038"/>
          <w:tab w:val="center" w:pos="2801"/>
        </w:tabs>
        <w:spacing w:after="7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Sayı</w:t>
      </w:r>
      <w:proofErr w:type="gramStart"/>
      <w:r>
        <w:tab/>
        <w:t>:E</w:t>
      </w:r>
      <w:proofErr w:type="gramEnd"/>
      <w:r>
        <w:t>-22432517-249-95215</w:t>
      </w:r>
    </w:p>
    <w:p w14:paraId="0F5B72A5" w14:textId="77777777" w:rsidR="00AC5F80" w:rsidRDefault="00F67578">
      <w:pPr>
        <w:spacing w:after="33"/>
        <w:ind w:left="1690" w:right="4192" w:hanging="880"/>
      </w:pPr>
      <w:r>
        <w:t>Konu</w:t>
      </w:r>
      <w:proofErr w:type="gramStart"/>
      <w:r>
        <w:tab/>
        <w:t>:</w:t>
      </w:r>
      <w:r>
        <w:t>Ulusal</w:t>
      </w:r>
      <w:proofErr w:type="gramEnd"/>
      <w:r>
        <w:t xml:space="preserve"> Taşıt Tanıma Sistemi Geçiş İşlemleri Hakkında Bilgilendirme</w:t>
      </w:r>
    </w:p>
    <w:p w14:paraId="4249D7E8" w14:textId="77777777" w:rsidR="00AC5F80" w:rsidRDefault="00F67578">
      <w:pPr>
        <w:spacing w:after="75" w:line="259" w:lineRule="auto"/>
        <w:ind w:left="0" w:firstLine="0"/>
        <w:jc w:val="left"/>
      </w:pPr>
      <w:r>
        <w:t xml:space="preserve"> </w:t>
      </w:r>
    </w:p>
    <w:p w14:paraId="25ECA4B4" w14:textId="77777777" w:rsidR="00AC5F80" w:rsidRDefault="00F67578">
      <w:pPr>
        <w:pStyle w:val="Balk1"/>
        <w:spacing w:after="30"/>
        <w:ind w:left="812"/>
      </w:pPr>
      <w:r>
        <w:t>DAĞITIM YERLERİNE</w:t>
      </w:r>
    </w:p>
    <w:p w14:paraId="02775F37" w14:textId="77777777" w:rsidR="00AC5F80" w:rsidRDefault="00F67578">
      <w:pPr>
        <w:spacing w:after="75" w:line="259" w:lineRule="auto"/>
        <w:ind w:left="0" w:firstLine="0"/>
        <w:jc w:val="left"/>
      </w:pPr>
      <w:r>
        <w:t xml:space="preserve"> </w:t>
      </w:r>
    </w:p>
    <w:p w14:paraId="388C81F2" w14:textId="77777777" w:rsidR="00AC5F80" w:rsidRDefault="00F67578">
      <w:pPr>
        <w:ind w:left="820"/>
      </w:pPr>
      <w:r>
        <w:t>Hazine ve Maliye Bakanlığı Gelir İdaresi Başkanlığı tarafından 05.10.2023 tarih ve 32330 sayılı Resmi</w:t>
      </w:r>
    </w:p>
    <w:p w14:paraId="0161E6E7" w14:textId="77777777" w:rsidR="00AC5F80" w:rsidRDefault="00F67578">
      <w:pPr>
        <w:ind w:left="820"/>
      </w:pPr>
      <w:r>
        <w:t xml:space="preserve">Gazetede yayımlanan Ulusal Taşıt Tanıma Sistemi Genel Tebliği (UTTS Tebliği) gereğince en geç </w:t>
      </w:r>
    </w:p>
    <w:p w14:paraId="23E3E910" w14:textId="77777777" w:rsidR="00AC5F80" w:rsidRDefault="00F67578">
      <w:pPr>
        <w:spacing w:after="0" w:line="287" w:lineRule="auto"/>
        <w:ind w:left="810" w:firstLine="0"/>
        <w:jc w:val="left"/>
      </w:pPr>
      <w:r>
        <w:rPr>
          <w:b/>
        </w:rPr>
        <w:t>31.12.2024 tarihine kadar</w:t>
      </w:r>
      <w:r>
        <w:t xml:space="preserve"> akaryakıt istasyonu işleten mükel</w:t>
      </w:r>
      <w:r>
        <w:t xml:space="preserve">leflerin en az bir pompa ünitesine Taşıt Tanıma Okuyucu (TTO) taktırılması zorunluluğu getirilmiş olup </w:t>
      </w:r>
      <w:r>
        <w:rPr>
          <w:b/>
        </w:rPr>
        <w:t>bu sürenin uzatılması söz konusu değildir</w:t>
      </w:r>
      <w:r>
        <w:t>.</w:t>
      </w:r>
    </w:p>
    <w:p w14:paraId="7970C6AE" w14:textId="77777777" w:rsidR="00AC5F80" w:rsidRDefault="00F67578">
      <w:pPr>
        <w:ind w:left="820"/>
      </w:pPr>
      <w:r>
        <w:t>Bu sebeple, kapsamdaki akaryakıt istasyonlarına TTO taktırılmasına ilişkin kayıt, randevu ve ödeme işlemlerini</w:t>
      </w:r>
      <w:r>
        <w:t xml:space="preserve">n </w:t>
      </w:r>
      <w:r>
        <w:rPr>
          <w:b/>
        </w:rPr>
        <w:t>son güne bırakılmadan</w:t>
      </w:r>
      <w:r>
        <w:t xml:space="preserve"> </w:t>
      </w:r>
      <w:r>
        <w:rPr>
          <w:color w:val="0000FF"/>
          <w:u w:val="single" w:color="0000FF"/>
        </w:rPr>
        <w:t>www.utts.gov.tr</w:t>
      </w:r>
      <w:r>
        <w:t xml:space="preserve"> internet sitesi üzerinden tamamlanması akaryakıt istasyonu işleten mükelleflerimizin herhangi bir cezai müeyyide ile karşılaşmamaları ve </w:t>
      </w:r>
      <w:proofErr w:type="spellStart"/>
      <w:r>
        <w:t>TTB'li</w:t>
      </w:r>
      <w:proofErr w:type="spellEnd"/>
      <w:r>
        <w:t xml:space="preserve"> araçlara akaryakıt satışında mağduriyet yaşanmaması adına önem arz etmek</w:t>
      </w:r>
      <w:r>
        <w:t>tedir.</w:t>
      </w:r>
    </w:p>
    <w:tbl>
      <w:tblPr>
        <w:tblStyle w:val="TableGrid"/>
        <w:tblpPr w:vertAnchor="page" w:horzAnchor="page" w:tblpY="13813"/>
        <w:tblOverlap w:val="never"/>
        <w:tblW w:w="848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065"/>
        <w:gridCol w:w="4420"/>
      </w:tblGrid>
      <w:tr w:rsidR="00AC5F80" w14:paraId="57F5D461" w14:textId="77777777">
        <w:trPr>
          <w:trHeight w:val="501"/>
        </w:trPr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</w:tcPr>
          <w:p w14:paraId="179426EB" w14:textId="1918DFFE" w:rsidR="00AC5F80" w:rsidRDefault="00AC5F80">
            <w:pPr>
              <w:spacing w:after="0" w:line="259" w:lineRule="auto"/>
              <w:ind w:left="803" w:firstLine="0"/>
              <w:jc w:val="left"/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</w:tcPr>
          <w:p w14:paraId="29A5C7FC" w14:textId="77777777" w:rsidR="00AC5F80" w:rsidRDefault="00AC5F80">
            <w:pPr>
              <w:spacing w:after="160" w:line="259" w:lineRule="auto"/>
              <w:ind w:left="0" w:firstLine="0"/>
              <w:jc w:val="left"/>
            </w:pPr>
          </w:p>
        </w:tc>
      </w:tr>
      <w:tr w:rsidR="00AC5F80" w14:paraId="7CB63CFF" w14:textId="77777777">
        <w:trPr>
          <w:trHeight w:val="652"/>
        </w:trPr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</w:tcPr>
          <w:p w14:paraId="0CE1722C" w14:textId="6A55E551" w:rsidR="00AC5F80" w:rsidRDefault="00AC5F80">
            <w:pPr>
              <w:spacing w:after="0" w:line="259" w:lineRule="auto"/>
              <w:ind w:left="803" w:firstLine="0"/>
              <w:jc w:val="left"/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</w:tcPr>
          <w:p w14:paraId="68897765" w14:textId="7C4B50A7" w:rsidR="00AC5F80" w:rsidRDefault="00AC5F80">
            <w:pPr>
              <w:spacing w:after="0" w:line="259" w:lineRule="auto"/>
              <w:ind w:left="0" w:firstLine="0"/>
              <w:jc w:val="right"/>
            </w:pPr>
          </w:p>
        </w:tc>
      </w:tr>
    </w:tbl>
    <w:p w14:paraId="764F04A2" w14:textId="70BB7A5C" w:rsidR="00AC5F80" w:rsidRDefault="00F67578">
      <w:pPr>
        <w:spacing w:after="274"/>
        <w:ind w:left="820"/>
      </w:pPr>
      <w:proofErr w:type="gramStart"/>
      <w:r>
        <w:t>Nitekim ;</w:t>
      </w:r>
      <w:proofErr w:type="gramEnd"/>
    </w:p>
    <w:p w14:paraId="5071C0BF" w14:textId="77777777" w:rsidR="00AC5F80" w:rsidRDefault="00F67578">
      <w:pPr>
        <w:ind w:left="1410" w:hanging="21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BA03E41" wp14:editId="2D813727">
                <wp:extent cx="66675" cy="66675"/>
                <wp:effectExtent l="0" t="0" r="0" b="0"/>
                <wp:docPr id="830" name="Group 8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" cy="66675"/>
                          <a:chOff x="0" y="0"/>
                          <a:chExt cx="66675" cy="66675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" h="66675">
                                <a:moveTo>
                                  <a:pt x="33401" y="0"/>
                                </a:moveTo>
                                <a:cubicBezTo>
                                  <a:pt x="51689" y="0"/>
                                  <a:pt x="66675" y="14859"/>
                                  <a:pt x="66675" y="33274"/>
                                </a:cubicBezTo>
                                <a:cubicBezTo>
                                  <a:pt x="66675" y="51689"/>
                                  <a:pt x="51689" y="66675"/>
                                  <a:pt x="33401" y="66675"/>
                                </a:cubicBezTo>
                                <a:cubicBezTo>
                                  <a:pt x="14986" y="66675"/>
                                  <a:pt x="0" y="51689"/>
                                  <a:pt x="0" y="33274"/>
                                </a:cubicBezTo>
                                <a:cubicBezTo>
                                  <a:pt x="0" y="14859"/>
                                  <a:pt x="14986" y="0"/>
                                  <a:pt x="3340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30" style="width:5.25pt;height:5.25pt;mso-position-horizontal-relative:char;mso-position-vertical-relative:line" coordsize="666,666">
                <v:shape id="Shape 10" style="position:absolute;width:666;height:666;left:0;top:0;" coordsize="66675,66675" path="m33401,0c51689,0,66675,14859,66675,33274c66675,51689,51689,66675,33401,66675c14986,66675,0,51689,0,33274c0,14859,14986,0,33401,0x">
                  <v:stroke weight="0pt" endcap="square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UTTS Tebliği'nde düzenlenen usul ve esaslara aykırı hareket eden veya belirlenen sürelerde öngörülen yükümlülüklerini yerine getirmeyenler hakkında 213 sayılı Kanunun ilgili ceza hükümleri uygulanacaktır.</w:t>
      </w:r>
    </w:p>
    <w:p w14:paraId="36FC5001" w14:textId="77777777" w:rsidR="00AC5F80" w:rsidRDefault="00F67578">
      <w:pPr>
        <w:spacing w:after="272"/>
        <w:ind w:left="1410" w:hanging="21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12DB074" wp14:editId="60D73173">
                <wp:extent cx="66675" cy="66675"/>
                <wp:effectExtent l="0" t="0" r="0" b="0"/>
                <wp:docPr id="831" name="Group 8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" cy="66675"/>
                          <a:chOff x="0" y="0"/>
                          <a:chExt cx="66675" cy="66675"/>
                        </a:xfrm>
                      </wpg:grpSpPr>
                      <wps:wsp>
                        <wps:cNvPr id="11" name="Shape 11"/>
                        <wps:cNvSpPr/>
                        <wps:spPr>
                          <a:xfrm>
                            <a:off x="0" y="0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" h="66675">
                                <a:moveTo>
                                  <a:pt x="33401" y="0"/>
                                </a:moveTo>
                                <a:cubicBezTo>
                                  <a:pt x="51689" y="0"/>
                                  <a:pt x="66675" y="14986"/>
                                  <a:pt x="66675" y="33401"/>
                                </a:cubicBezTo>
                                <a:cubicBezTo>
                                  <a:pt x="66675" y="51689"/>
                                  <a:pt x="51689" y="66675"/>
                                  <a:pt x="33401" y="66675"/>
                                </a:cubicBezTo>
                                <a:cubicBezTo>
                                  <a:pt x="14986" y="66675"/>
                                  <a:pt x="0" y="51689"/>
                                  <a:pt x="0" y="33401"/>
                                </a:cubicBezTo>
                                <a:cubicBezTo>
                                  <a:pt x="0" y="14986"/>
                                  <a:pt x="14986" y="0"/>
                                  <a:pt x="33401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31" style="width:5.25pt;height:5.25pt;mso-position-horizontal-relative:char;mso-position-vertical-relative:line" coordsize="666,666">
                <v:shape id="Shape 11" style="position:absolute;width:666;height:666;left:0;top:0;" coordsize="66675,66675" path="m33401,0c51689,0,66675,14986,66675,33401c66675,51689,51689,66675,33401,66675c14986,66675,0,51689,0,33401c0,14986,14986,0,33401,0x">
                  <v:stroke weight="0pt" endcap="square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01.01.2025 tarihi itibariyle TTB takılma zorunlu</w:t>
      </w:r>
      <w:r>
        <w:t>luğu getirilen taşıtlar için, UTTS kapsamında düzenlenmeyen belgeler, 213 sayılı Vergi Usul Kanununun 227'nci maddesine istinaden vergi kanunları bakımından hiç düzenlenmemiş sayılacaktır.</w:t>
      </w:r>
    </w:p>
    <w:p w14:paraId="0896106E" w14:textId="77777777" w:rsidR="00AC5F80" w:rsidRDefault="00F67578">
      <w:pPr>
        <w:ind w:left="820"/>
      </w:pPr>
      <w:r>
        <w:t>Anılan Tebliğ ile UTTS kapsamında akaryakıt istasyonlarında kullanı</w:t>
      </w:r>
      <w:r>
        <w:t>lması gereken donanım ve sistemlerin temin ve tedarik işlemleri Genel Müdürlüğümüz tarafından yürütülmektedir.</w:t>
      </w:r>
    </w:p>
    <w:p w14:paraId="00010C2E" w14:textId="77777777" w:rsidR="00AC5F80" w:rsidRDefault="00F67578">
      <w:pPr>
        <w:ind w:left="820"/>
      </w:pPr>
      <w:r>
        <w:t>İlgili tüm paydaşlarınızın detayları yukarıda açıklanan hususlar hakkında bilgilendirilmesi ve gerekli uyarıların yapılması hususunda; Gereğini ö</w:t>
      </w:r>
      <w:r>
        <w:t>nemle rica ederim.</w:t>
      </w:r>
    </w:p>
    <w:p w14:paraId="433CE760" w14:textId="77777777" w:rsidR="00AC5F80" w:rsidRDefault="00F67578">
      <w:pPr>
        <w:spacing w:after="60" w:line="259" w:lineRule="auto"/>
        <w:ind w:left="0" w:firstLine="0"/>
        <w:jc w:val="left"/>
      </w:pPr>
      <w:r>
        <w:t xml:space="preserve"> </w:t>
      </w:r>
    </w:p>
    <w:p w14:paraId="16CDB5F1" w14:textId="5E17B099" w:rsidR="00AC5F80" w:rsidRDefault="00F67578">
      <w:pPr>
        <w:spacing w:after="1480" w:line="265" w:lineRule="auto"/>
        <w:ind w:left="10"/>
        <w:jc w:val="right"/>
      </w:pPr>
      <w:r>
        <w:t>.</w:t>
      </w:r>
    </w:p>
    <w:sectPr w:rsidR="00AC5F80">
      <w:pgSz w:w="11906" w:h="16838"/>
      <w:pgMar w:top="1150" w:right="822" w:bottom="144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F80"/>
    <w:rsid w:val="00AC5F80"/>
    <w:rsid w:val="00F6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18D62"/>
  <w15:docId w15:val="{890CA3D4-FFF8-48D3-BC55-1C0751C5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" w:line="269" w:lineRule="auto"/>
      <w:ind w:left="83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after="82"/>
      <w:ind w:left="825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2024-12-04T08:26:00Z</dcterms:created>
  <dcterms:modified xsi:type="dcterms:W3CDTF">2024-12-04T08:26:00Z</dcterms:modified>
</cp:coreProperties>
</file>